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7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Macroeconomic Trend Analysis</w:t>
      </w:r>
    </w:p>
    <w:p>
      <w:pPr>
        <w:pStyle w:val="Subtitle"/>
      </w:pPr>
      <w:r>
        <w:t xml:space="preserve">Inflation, Unemployment &amp; GDP | R + SQL Pipeline</w:t>
      </w:r>
    </w:p>
    <w:p>
      <w:pPr>
        <w:pStyle w:val="Author"/>
      </w:pPr>
      <w:r>
        <w:t xml:space="preserve">Noah Hebert</w:t>
      </w:r>
    </w:p>
    <w:p>
      <w:pPr>
        <w:pStyle w:val="Date"/>
      </w:pPr>
      <w:r>
        <w:t xml:space="preserve">2026-03-04</w:t>
      </w:r>
    </w:p>
    <w:bookmarkStart w:id="20" w:name="project-overview"/>
    <w:p>
      <w:pPr>
        <w:pStyle w:val="Heading2"/>
      </w:pPr>
      <w:r>
        <w:t xml:space="preserve">Project Overview</w:t>
      </w:r>
    </w:p>
    <w:p>
      <w:pPr>
        <w:pStyle w:val="FirstParagraph"/>
      </w:pPr>
      <w:r>
        <w:t xml:space="preserve">This project builds a macroeconomic analysis pipeline using R and SQL to model an 11-month disinflation cycle (April 2025 – February 2026). A synthetic dataset was constructed to reflect plausible Federal Reserve policy responses — gradual rate reductions from 5.50% to 4.25% in response to declining inflation, with lagged effects on GDP growth, unemployment, and consumer sentiment.</w:t>
      </w:r>
    </w:p>
    <w:p>
      <w:pPr>
        <w:pStyle w:val="BodyText"/>
      </w:pPr>
      <w:r>
        <w:t xml:space="preserve">The workflow covers the full analysis lifecycle: data ingestion, tidyverse wrangling, ggplot2 visualization, and SQLite-based aggregation using window functions and conditional signal classification — replicating the kind of pipeline used in economic research and financial analysis roles.</w:t>
      </w:r>
    </w:p>
    <w:p>
      <w:r>
        <w:pict>
          <v:rect style="width:0;height:1.5pt" o:hralign="center" o:hrstd="t" o:hr="t"/>
        </w:pict>
      </w:r>
    </w:p>
    <w:bookmarkEnd w:id="20"/>
    <w:bookmarkStart w:id="21" w:name="setup"/>
    <w:p>
      <w:pPr>
        <w:pStyle w:val="Heading2"/>
      </w:pPr>
      <w:r>
        <w:t xml:space="preserve">Setup</w:t>
      </w:r>
    </w:p>
    <w:p>
      <w:r>
        <w:pict>
          <v:rect style="width:0;height:1.5pt" o:hralign="center" o:hrstd="t" o:hr="t"/>
        </w:pict>
      </w:r>
    </w:p>
    <w:bookmarkEnd w:id="21"/>
    <w:bookmarkStart w:id="22" w:name="dataset"/>
    <w:p>
      <w:pPr>
        <w:pStyle w:val="Heading2"/>
      </w:pPr>
      <w:r>
        <w:t xml:space="preserve">Dataset</w:t>
      </w:r>
    </w:p>
    <w:p>
      <w:pPr>
        <w:pStyle w:val="FirstParagraph"/>
      </w:pPr>
      <w:r>
        <w:t xml:space="preserve">The dataset models six macroeconomic indicators across 11 months. Variables were designed to reflect a realistic soft-landing scenario: inflation declining toward a 2% target while unemployment rises modestly and GDP decelerates.</w:t>
      </w:r>
    </w:p>
    <w:p>
      <w:pPr>
        <w:pStyle w:val="TableCaption"/>
      </w:pPr>
      <w:r>
        <w:t xml:space="preserve">Table 1: Full Macroeconomic Dataset (Apr 2025 – Feb 2026)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Table 1: Full Macroeconomic Dataset (Apr 2025 – Feb 2026)"/>
      </w:tblPr>
      <w:tblGrid>
        <w:gridCol w:w="806"/>
        <w:gridCol w:w="1100"/>
        <w:gridCol w:w="1320"/>
        <w:gridCol w:w="806"/>
        <w:gridCol w:w="1393"/>
        <w:gridCol w:w="1026"/>
        <w:gridCol w:w="146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inflation_rate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unemployment_rate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gdp_growth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consumer_sentiment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interest_rate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retail_sales_growth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2025-04-01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2025-05-01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2025-07-01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2025-10-01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2025-11-01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2025-12-01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2026-01-01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2026-02-01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1.1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31" w:name="visualizations"/>
    <w:p>
      <w:pPr>
        <w:pStyle w:val="Heading2"/>
      </w:pPr>
      <w:r>
        <w:t xml:space="preserve">Visualizations</w:t>
      </w:r>
    </w:p>
    <w:bookmarkStart w:id="26" w:name="inflation-vs.-unemployment-rate"/>
    <w:p>
      <w:pPr>
        <w:pStyle w:val="Heading3"/>
      </w:pPr>
      <w:r>
        <w:t xml:space="preserve">Inflation vs. Unemployment Rate</w:t>
      </w:r>
    </w:p>
    <w:p>
      <w:pPr>
        <w:pStyle w:val="FirstParagraph"/>
      </w:pPr>
      <w:r>
        <w:t xml:space="preserve">Both series were reshaped to long format using</w:t>
      </w:r>
      <w:r>
        <w:t xml:space="preserve"> </w:t>
      </w:r>
      <w:r>
        <w:rPr>
          <w:rStyle w:val="VerbatimChar"/>
        </w:rPr>
        <w:t xml:space="preserve">pivot_longer()</w:t>
      </w:r>
      <w:r>
        <w:t xml:space="preserve"> </w:t>
      </w:r>
      <w:r>
        <w:t xml:space="preserve">before plotting. The inverse relationship between disinflation and rising unemployment is consistent with the expectations-augmented Phillips Curve.</w:t>
      </w:r>
    </w:p>
    <w:p>
      <w:pPr>
        <w:pStyle w:val="CaptionedFigure"/>
      </w:pPr>
      <w:r>
        <w:drawing>
          <wp:inline>
            <wp:extent cx="5334000" cy="4267200"/>
            <wp:effectExtent b="0" l="0" r="0" t="0"/>
            <wp:docPr descr="Figure 1: Inflation declined 1.1 pp as unemployment rose 0.5 pp — consistent with a soft-landing disinflation scenario." title="" id="24" name="Picture"/>
            <a:graphic>
              <a:graphicData uri="http://schemas.openxmlformats.org/drawingml/2006/picture">
                <pic:pic>
                  <pic:nvPicPr>
                    <pic:cNvPr descr="EDA-project_files/figure-docx/plot-inflation-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1: Inflation declined 1.1 pp as unemployment rose 0.5 pp — consistent with a soft-landing disinflation scenario.</w:t>
      </w:r>
    </w:p>
    <w:bookmarkEnd w:id="26"/>
    <w:bookmarkStart w:id="30" w:name="gdp-growth-vs.-retail-sales-growth"/>
    <w:p>
      <w:pPr>
        <w:pStyle w:val="Heading3"/>
      </w:pPr>
      <w:r>
        <w:t xml:space="preserve">GDP Growth vs. Retail Sales Growth</w:t>
      </w:r>
    </w:p>
    <w:p>
      <w:pPr>
        <w:pStyle w:val="FirstParagraph"/>
      </w:pPr>
      <w:r>
        <w:t xml:space="preserve">A line chart comparing GDP growth against retail sales growth to assess whether consumer spending aligned with output deceleration. Retail sales contracted faster than GDP — signaling weakening demand ahead of output.</w:t>
      </w:r>
    </w:p>
    <w:p>
      <w:pPr>
        <w:pStyle w:val="CaptionedFigure"/>
      </w:pPr>
      <w:r>
        <w:drawing>
          <wp:inline>
            <wp:extent cx="5334000" cy="4267200"/>
            <wp:effectExtent b="0" l="0" r="0" t="0"/>
            <wp:docPr descr="Figure 2: Retail sales contracted faster than GDP across the period, signaling demand weakness leading output deceleration." title="" id="28" name="Picture"/>
            <a:graphic>
              <a:graphicData uri="http://schemas.openxmlformats.org/drawingml/2006/picture">
                <pic:pic>
                  <pic:nvPicPr>
                    <pic:cNvPr descr="EDA-project_files/figure-docx/plot-gdp-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2: Retail sales contracted faster than GDP across the period, signaling demand weakness leading output deceleration.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6" w:name="sql-analysis"/>
    <w:p>
      <w:pPr>
        <w:pStyle w:val="Heading2"/>
      </w:pPr>
      <w:r>
        <w:t xml:space="preserve">SQL Analysis</w:t>
      </w:r>
    </w:p>
    <w:p>
      <w:pPr>
        <w:pStyle w:val="FirstParagraph"/>
      </w:pPr>
      <w:r>
        <w:t xml:space="preserve">The dataset was loaded into an in-memory SQLite database via the</w:t>
      </w:r>
      <w:r>
        <w:t xml:space="preserve"> </w:t>
      </w:r>
      <w:r>
        <w:rPr>
          <w:rStyle w:val="VerbatimChar"/>
        </w:rPr>
        <w:t xml:space="preserve">DBI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RSQLite</w:t>
      </w:r>
      <w:r>
        <w:t xml:space="preserve"> </w:t>
      </w:r>
      <w:r>
        <w:t xml:space="preserve">packages. Months are stored as character strings (</w:t>
      </w:r>
      <w:r>
        <w:rPr>
          <w:rStyle w:val="VerbatimChar"/>
        </w:rPr>
        <w:t xml:space="preserve">YYYY-MM-DD</w:t>
      </w:r>
      <w:r>
        <w:t xml:space="preserve">) to avoid SQLite’s Unix day-integer conversion, which would otherwise render dates as raw integers in query output.</w:t>
      </w:r>
    </w:p>
    <w:bookmarkStart w:id="32" w:name="query-1-3-month-rolling-averages"/>
    <w:p>
      <w:pPr>
        <w:pStyle w:val="Heading3"/>
      </w:pPr>
      <w:r>
        <w:t xml:space="preserve">Query 1 — 3-Month Rolling Averages</w:t>
      </w:r>
    </w:p>
    <w:p>
      <w:pPr>
        <w:pStyle w:val="FirstParagraph"/>
      </w:pPr>
      <w:r>
        <w:rPr>
          <w:rStyle w:val="VerbatimChar"/>
        </w:rPr>
        <w:t xml:space="preserve">AVG() OVER (ROWS BETWEEN 2 PRECEDING AND CURRENT ROW)</w:t>
      </w:r>
      <w:r>
        <w:t xml:space="preserve"> </w:t>
      </w:r>
      <w:r>
        <w:t xml:space="preserve">computes a trailing 3-month average for inflation and unemployment, smoothing short-term noise to reveal the underlying trend direction.</w:t>
      </w:r>
    </w:p>
    <w:p>
      <w:pPr>
        <w:pStyle w:val="TableCaption"/>
      </w:pPr>
      <w:r>
        <w:t xml:space="preserve">Table 2: 3-Month Rolling Averages — Inflation &amp; Unemployment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Table 2: 3-Month Rolling Averages — Inflation &amp; Unemployment"/>
      </w:tblPr>
      <w:tblGrid>
        <w:gridCol w:w="1075"/>
        <w:gridCol w:w="1466"/>
        <w:gridCol w:w="1662"/>
        <w:gridCol w:w="1760"/>
        <w:gridCol w:w="195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inflation_rate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inflation_3m_avg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unemployment_rate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unemployment_3m_avg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2025-04-01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3.800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2025-05-01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3.750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3.667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4.033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2025-07-01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3.533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4.067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3.400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4.133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3.300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4.167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2025-10-01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3.200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4.233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2025-11-01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3.100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4.267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2025-12-01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4.333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2026-01-01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2.900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4.367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2026-02-01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2.800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4.433</w:t>
            </w:r>
          </w:p>
        </w:tc>
      </w:tr>
    </w:tbl>
    <w:bookmarkEnd w:id="32"/>
    <w:bookmarkStart w:id="33" w:name="query-2-macro-signal-classification"/>
    <w:p>
      <w:pPr>
        <w:pStyle w:val="Heading3"/>
      </w:pPr>
      <w:r>
        <w:t xml:space="preserve">Query 2 — Macro Signal Classification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rStyle w:val="VerbatimChar"/>
        </w:rPr>
        <w:t xml:space="preserve">CASE WHEN</w:t>
      </w:r>
      <w:r>
        <w:t xml:space="preserve"> </w:t>
      </w:r>
      <w:r>
        <w:t xml:space="preserve">statement classifies each month into one of three macro regimes based on GDP, retail sales, inflation, and interest rate thresholds — mirroring rule-based signal labeling used in economic policy dashboards.</w:t>
      </w:r>
    </w:p>
    <w:p>
      <w:pPr>
        <w:pStyle w:val="TableCaption"/>
      </w:pPr>
      <w:r>
        <w:t xml:space="preserve">Table 3: Macro Regime Classification by Month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Table 3: Macro Regime Classification by Month"/>
      </w:tblPr>
      <w:tblGrid>
        <w:gridCol w:w="862"/>
        <w:gridCol w:w="1176"/>
        <w:gridCol w:w="1097"/>
        <w:gridCol w:w="862"/>
        <w:gridCol w:w="1568"/>
        <w:gridCol w:w="235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inflation_rate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interest_rate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gdp_growth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retail_sales_growth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macro_signal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2025-04-01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 Inflation / Tight Policy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2025-05-01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 Inflation / Tight Policy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2025-07-01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2025-10-01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2025-11-01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2025-12-01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2026-01-01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Demand Softening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2026-02-01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Demand Softening</w:t>
            </w:r>
          </w:p>
        </w:tc>
      </w:tr>
    </w:tbl>
    <w:bookmarkEnd w:id="33"/>
    <w:bookmarkStart w:id="34" w:name="query-3-month-over-month-change"/>
    <w:p>
      <w:pPr>
        <w:pStyle w:val="Heading3"/>
      </w:pPr>
      <w:r>
        <w:t xml:space="preserve">Query 3 — Month-over-Month Change</w:t>
      </w:r>
    </w:p>
    <w:p>
      <w:pPr>
        <w:pStyle w:val="FirstParagraph"/>
      </w:pPr>
      <w:r>
        <w:rPr>
          <w:rStyle w:val="VerbatimChar"/>
        </w:rPr>
        <w:t xml:space="preserve">LAG()</w:t>
      </w:r>
      <w:r>
        <w:t xml:space="preserve"> </w:t>
      </w:r>
      <w:r>
        <w:t xml:space="preserve">computes period-over-period deltas for inflation, unemployment, and GDP — quantifying the pace and direction of change across all key indicators.</w:t>
      </w:r>
    </w:p>
    <w:p>
      <w:pPr>
        <w:pStyle w:val="TableCaption"/>
      </w:pPr>
      <w:r>
        <w:t xml:space="preserve">Table 4: Month-over-Month Change — Key Indicators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Table 4: Month-over-Month Change — Key Indicators"/>
      </w:tblPr>
      <w:tblGrid>
        <w:gridCol w:w="845"/>
        <w:gridCol w:w="1153"/>
        <w:gridCol w:w="1307"/>
        <w:gridCol w:w="1384"/>
        <w:gridCol w:w="1537"/>
        <w:gridCol w:w="845"/>
        <w:gridCol w:w="84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inflation_rate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inflation_change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unemployment_rate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unemployment_change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gdp_growth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gdp_change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2025-04-01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2025-05-01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2025-07-01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2025-10-01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2025-11-01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2025-12-01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2026-01-01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2026-02-01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-0.1</w:t>
            </w:r>
          </w:p>
        </w:tc>
      </w:tr>
    </w:tbl>
    <w:bookmarkEnd w:id="34"/>
    <w:bookmarkStart w:id="35" w:name="X0b1db6d7c8ad644d9445e2d9152b20baa5abad8"/>
    <w:p>
      <w:pPr>
        <w:pStyle w:val="Heading3"/>
      </w:pPr>
      <w:r>
        <w:t xml:space="preserve">Query 4 — Pearson Correlation (Inflation vs. Unemployment)</w:t>
      </w:r>
    </w:p>
    <w:p>
      <w:pPr>
        <w:pStyle w:val="FirstParagraph"/>
      </w:pPr>
      <w:r>
        <w:t xml:space="preserve">Manual computation of the Pearson correlation coefficient between inflation and unemployment directly in SQL — no R post-processing required. A negative result confirms the inverse Phillips Curve relationship present in the data.</w:t>
      </w:r>
    </w:p>
    <w:p>
      <w:pPr>
        <w:pStyle w:val="TableCaption"/>
      </w:pPr>
      <w:r>
        <w:t xml:space="preserve">Table 5: Pearson Correlation — Inflation vs. Unemployment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Table 5: Pearson Correlation — Inflation vs. Unemployment"/>
      </w:tblPr>
      <w:tblGrid>
        <w:gridCol w:w="792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pearson_corr_infl_unemp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-0.9851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End w:id="36"/>
    <w:bookmarkStart w:id="37" w:name="key-findings"/>
    <w:p>
      <w:pPr>
        <w:pStyle w:val="Heading2"/>
      </w:pPr>
      <w:r>
        <w:t xml:space="preserve">Key Findings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Change</w:t>
            </w:r>
          </w:p>
        </w:tc>
        <w:tc>
          <w:tcPr/>
          <w:p>
            <w:pPr>
              <w:pStyle w:val="Compact"/>
            </w:pPr>
            <w:r>
              <w:t xml:space="preserve">Interpretation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Inflation</w:t>
            </w:r>
          </w:p>
        </w:tc>
        <w:tc>
          <w:tcPr/>
          <w:p>
            <w:pPr>
              <w:pStyle w:val="Compact"/>
            </w:pPr>
            <w:r>
              <w:t xml:space="preserve">-1.1 pp</w:t>
            </w:r>
          </w:p>
        </w:tc>
        <w:tc>
          <w:tcPr/>
          <w:p>
            <w:pPr>
              <w:pStyle w:val="Compact"/>
            </w:pPr>
            <w:r>
              <w:t xml:space="preserve">Sustained disinflation toward 2% target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Unemployment</w:t>
            </w:r>
          </w:p>
        </w:tc>
        <w:tc>
          <w:tcPr/>
          <w:p>
            <w:pPr>
              <w:pStyle w:val="Compact"/>
            </w:pPr>
            <w:r>
              <w:t xml:space="preserve">+0.5 pp</w:t>
            </w:r>
          </w:p>
        </w:tc>
        <w:tc>
          <w:tcPr/>
          <w:p>
            <w:pPr>
              <w:pStyle w:val="Compact"/>
            </w:pPr>
            <w:r>
              <w:t xml:space="preserve">Modest labor market softening; soft-landing dynamic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GDP Growth</w:t>
            </w:r>
          </w:p>
        </w:tc>
        <w:tc>
          <w:tcPr/>
          <w:p>
            <w:pPr>
              <w:pStyle w:val="Compact"/>
            </w:pPr>
            <w:r>
              <w:t xml:space="preserve">-0.9 pp</w:t>
            </w:r>
          </w:p>
        </w:tc>
        <w:tc>
          <w:tcPr/>
          <w:p>
            <w:pPr>
              <w:pStyle w:val="Compact"/>
            </w:pPr>
            <w:r>
              <w:t xml:space="preserve">Steady deceleration; demand-side weakness in final months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Rate Cuts Modeled</w:t>
            </w:r>
          </w:p>
        </w:tc>
        <w:tc>
          <w:tcPr/>
          <w:p>
            <w:pPr>
              <w:pStyle w:val="Compact"/>
            </w:pPr>
            <w:r>
              <w:t xml:space="preserve">125 bps</w:t>
            </w:r>
          </w:p>
        </w:tc>
        <w:tc>
          <w:tcPr/>
          <w:p>
            <w:pPr>
              <w:pStyle w:val="Compact"/>
            </w:pPr>
            <w:r>
              <w:t xml:space="preserve">5 cuts of 25 bps across the easing cycle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Infl/Unemp Correlation</w:t>
            </w:r>
          </w:p>
        </w:tc>
        <w:tc>
          <w:tcPr/>
          <w:p>
            <w:pPr>
              <w:pStyle w:val="Compact"/>
            </w:pPr>
            <w:r>
              <w:t xml:space="preserve">-0.9851</w:t>
            </w:r>
          </w:p>
        </w:tc>
        <w:tc>
          <w:tcPr/>
          <w:p>
            <w:pPr>
              <w:pStyle w:val="Compact"/>
            </w:pPr>
            <w:r>
              <w:t xml:space="preserve">Negative — Phillips Curve relationship confirmed</w:t>
            </w:r>
          </w:p>
        </w:tc>
      </w:tr>
    </w:tbl>
    <w:p>
      <w:pPr>
        <w:pStyle w:val="BodyText"/>
      </w:pPr>
      <w:r>
        <w:rPr>
          <w:b/>
          <w:bCs/>
        </w:rPr>
        <w:t xml:space="preserve">Soft-landing signal:</w:t>
      </w:r>
      <w:r>
        <w:t xml:space="preserve"> </w:t>
      </w:r>
      <w:r>
        <w:t xml:space="preserve">Inflation fell meaningfully while unemployment rose only modestly (+0.5 pp), consistent with a controlled disinflation scenario rather than a recession-driven correction. The final two months were classified as</w:t>
      </w:r>
      <w:r>
        <w:t xml:space="preserve"> </w:t>
      </w:r>
      <w:r>
        <w:rPr>
          <w:i/>
          <w:iCs/>
        </w:rPr>
        <w:t xml:space="preserve">Demand Softening</w:t>
      </w:r>
      <w:r>
        <w:t xml:space="preserve"> </w:t>
      </w:r>
      <w:r>
        <w:t xml:space="preserve">by the SQL signal logic, suggesting the economy was approaching — but had not yet entered — a contractionary phase.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Built with R · ggplot2 · dplyr · SQLite · Quarto</w:t>
      </w:r>
    </w:p>
    <w:bookmarkEnd w:id="3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7" Target="media/rId27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Macroeconomic Trend Analysis</dc:title>
  <dc:creator>Noah Hebert</dc:creator>
  <cp:keywords/>
  <dcterms:created xsi:type="dcterms:W3CDTF">2026-03-23T17:23:06Z</dcterms:created>
  <dcterms:modified xsi:type="dcterms:W3CDTF">2026-03-23T17:23:06Z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2026-03-04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subtitle">
    <vt:lpwstr>Inflation, Unemployment &amp; GDP | R + SQL Pipeline</vt:lpwstr>
  </property>
  <property fmtid="{D5CDD505-2E9C-101B-9397-08002B2CF9AE}" pid="11" name="toc-title">
    <vt:lpwstr>Table of contents</vt:lpwstr>
  </property>
</Properties>
</file>